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</w:pPr>
      <w:bookmarkStart w:id="0" w:name="_GoBack"/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Узган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шимбә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Казанның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"Смена"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заманча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мәдәният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үзәгендә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татар дизайнеры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Әюповның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лекциясе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узды. </w:t>
      </w:r>
      <w:proofErr w:type="spellStart"/>
      <w:proofErr w:type="gram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татар дизайн-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проектларын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алып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бару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үзенчәлекләренә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багышланды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Азатлык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лекцияне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тыңлап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татар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дизайнерларның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биш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типик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хатасын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барлады</w:t>
      </w:r>
      <w:proofErr w:type="spellEnd"/>
      <w:r w:rsidRPr="00B630D3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.</w:t>
      </w:r>
    </w:p>
    <w:bookmarkEnd w:id="0"/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1. Татар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бизәкләрен</w:t>
      </w:r>
      <w:proofErr w:type="spellEnd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артыгы</w:t>
      </w:r>
      <w:proofErr w:type="spellEnd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кү</w:t>
      </w:r>
      <w:proofErr w:type="gram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куллану</w:t>
      </w:r>
      <w:proofErr w:type="spellEnd"/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фикеренчә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дизайнерлары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милли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бизәкләрне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Дизайнерлар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татарлыкны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әвешле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күрсәтергә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тырыша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"Без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бизәкләрен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кулланудан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баш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тарттык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Бизәклә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югала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Бизәклә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бер-берсенә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охшаш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бертөрле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аеру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визуаль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истә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калдыру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авыр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Бу –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проблем,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өнки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уникальлек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җитми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Проект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башкалардан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аерылырга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"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Кавказ,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төрки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орнаментларын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күрсәтте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Милли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бизәкләрне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яңарту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ниндидер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яңалык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китерү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кирәклеген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әйтте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23AA072D" wp14:editId="4CE207FD">
            <wp:extent cx="2383790" cy="1346200"/>
            <wp:effectExtent l="0" t="0" r="0" b="6350"/>
            <wp:docPr id="1" name="Рисунок 1" descr="Болгар - Туган тел форумы логотибы, Илдар Әюпов студиясе тарафыннан ясал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гар - Туган тел форумы логотибы, Илдар Әюпов студиясе тарафыннан ясалг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Болгар -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тел форумы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логотибы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студиясе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тарафыннан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ясалган</w:t>
      </w:r>
      <w:proofErr w:type="spellEnd"/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2.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Төслә</w:t>
      </w:r>
      <w:proofErr w:type="gram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</w:t>
      </w:r>
      <w:proofErr w:type="spellEnd"/>
      <w:proofErr w:type="gramEnd"/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Проектларда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бер-берсенә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туры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төсләрне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мөһим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проекты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Татарстан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байрагындагы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кулланылырга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стереотип бар,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уңышсыз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саный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 xml:space="preserve">Татарстан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байрагындагы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кулланылырга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стереотип бар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Минемчә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бер-берсенә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туры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килми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гармониядә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Андый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куела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төсләрне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бераз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үзгәртеп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ачыклыгы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Төсләрне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үзгәртеп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визуаль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тел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барлыкка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китереп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1659490F" wp14:editId="7A54773F">
            <wp:extent cx="2383790" cy="1346200"/>
            <wp:effectExtent l="0" t="0" r="0" b="6350"/>
            <wp:docPr id="2" name="Рисунок 2" descr="Сәләт-Прага мәктәбе логотибы. Илдар Әюпов студиясендә ясал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әләт-Прага мәктәбе логотибы. Илдар Әюпов студиясендә ясалг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-Прага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мәктәбе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логотибы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студиясендә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ясалган</w:t>
      </w:r>
      <w:proofErr w:type="spellEnd"/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3. Тел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кулланылышы</w:t>
      </w:r>
      <w:proofErr w:type="spellEnd"/>
    </w:p>
    <w:p w:rsid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2B7987" wp14:editId="66E2315E">
            <wp:simplePos x="0" y="0"/>
            <wp:positionH relativeFrom="column">
              <wp:posOffset>-1905</wp:posOffset>
            </wp:positionH>
            <wp:positionV relativeFrom="paragraph">
              <wp:posOffset>3786505</wp:posOffset>
            </wp:positionV>
            <wp:extent cx="238379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404" y="21396"/>
                <wp:lineTo x="21404" y="0"/>
                <wp:lineTo x="0" y="0"/>
              </wp:wrapPolygon>
            </wp:wrapThrough>
            <wp:docPr id="3" name="Рисунок 3" descr="Сәлам дәреслеге сай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әлам дәреслеге сай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Тел –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универсаль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чара,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аз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Татар теле PR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өлкәдә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клишелар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әрлек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түгел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Теләсә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нинди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рус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телендәге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клишены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тәҗемә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итсәң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кабул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ителә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Калькалар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проблемы бар.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Русча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гыйбарәне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җемә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иткәндә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телнең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ясалмалыгы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сизелә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Мисал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марафонга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ясалган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плакатта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"Казан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марафонында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катнаш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гыйбарәсен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кулланмый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калька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ярылып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ята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Азатлыкның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Ничек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шигаре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уңышлы</w:t>
      </w:r>
      <w:proofErr w:type="spellEnd"/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качу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чарасы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буларак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дизайнер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урынлы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булса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фигыльлә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киңәш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фигыль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фигыль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формалары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матур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яңгырый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Азатлыкның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Ничек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шигарен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уңышлы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Сәлам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дәреслеге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сайты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lastRenderedPageBreak/>
        <w:t xml:space="preserve">4. Татар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шрифтлары</w:t>
      </w:r>
      <w:proofErr w:type="spellEnd"/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шрифтлар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аз,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дизайнерлар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дөрес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булмаганнарны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шрифтларны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кайвакыт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үзебез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ясыйбыз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Хәзер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махсус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програмнар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кирәк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конкрет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хәрефләрдә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мисалларны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китерде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шрифтларын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сатып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ясаучыларга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итәргә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чакырды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5.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Тамгалар</w:t>
      </w:r>
      <w:proofErr w:type="spellEnd"/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Без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инде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күптән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күчмә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халык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түгел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куллануга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каршымын</w:t>
      </w:r>
      <w:proofErr w:type="spellEnd"/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нигездә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күчмә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халык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тамгасын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fldChar w:fldCharType="begin"/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instrText xml:space="preserve"> HYPERLINK "http://www.azatliq.org/a/26746882.html" \t "_blank" </w:instrText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fldChar w:fldCharType="separate"/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fldChar w:fldCharType="end"/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"Без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инде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күптән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күчмә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халык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түгел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куллануга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каршымын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киемгә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нык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игътибар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әләр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егете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рәсемен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ничек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ясыйлар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?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Түбәтәй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камзул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-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бар. Тик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чынбарлыкта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бит,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урамнарда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түб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әтәй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камзул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киеп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йөрми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",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Дизайнер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иронияне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киңәш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мәсәлән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татар акценты,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мишәрлек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темасы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Үз-үзеннән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шаяра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белүче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милләткә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башкалар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тартыла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продукциясе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истә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кала,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әйтте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0E2FC947" wp14:editId="5A4969C1">
            <wp:extent cx="2383790" cy="1346200"/>
            <wp:effectExtent l="0" t="0" r="0" b="6350"/>
            <wp:docPr id="4" name="Рисунок 4" descr="Фәнсар яшьләр академиясе логотибы, Илдар Әюпов студиясендә ясал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әнсар яшьләр академиясе логотибы, Илдар Әюпов студиясендә ясалг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Pr="00B630D3" w:rsidRDefault="00B630D3" w:rsidP="00B630D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Фәнсар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академиясе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логотибы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студиясендә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ясалган</w:t>
      </w:r>
      <w:proofErr w:type="spellEnd"/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Казан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символлары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арасыннан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Сөембикә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манарасын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кулланырга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чакырды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җиңел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таныйлар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 Татарстан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туграсын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куллануны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уңышсыз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Авыл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символлары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образларыннан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китү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кирәк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чөнки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хәзер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инде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 xml:space="preserve">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авыл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түгел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Лекцияне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тулысынча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теләүчеләргә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видеоязмасын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тәкъдим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әбез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Чара 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рус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узды.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Илдар</w:t>
      </w:r>
      <w:proofErr w:type="spellEnd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Әюпов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– "Теория"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студиясенең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арт-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мөдире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hyperlink r:id="rId9" w:tgtFrame="_blank" w:history="1"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"</w:t>
        </w:r>
        <w:proofErr w:type="spell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Әлбә</w:t>
        </w:r>
        <w:proofErr w:type="gram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тт</w:t>
        </w:r>
        <w:proofErr w:type="gramEnd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ә</w:t>
        </w:r>
        <w:proofErr w:type="spellEnd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"</w:t>
        </w:r>
      </w:hyperlink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сайтының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җитәкчесе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Татарстанның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тарих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институты,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Фәнсар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академиясе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логотиплары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"Болгар –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тел" форумы,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Сәләт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-Прага"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эшлекле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стильләр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кебек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танылган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Әлбәттә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сайтының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уйлап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табучысы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мөхәррире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тора.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Рустелле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hyperlink r:id="rId10" w:tgtFrame="_blank" w:history="1"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"</w:t>
        </w:r>
        <w:proofErr w:type="spell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Сәлам</w:t>
        </w:r>
        <w:proofErr w:type="spellEnd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 xml:space="preserve">" </w:t>
        </w:r>
        <w:proofErr w:type="spell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дәреслегенең</w:t>
        </w:r>
      </w:hyperlink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медиатөркем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әкчесе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B630D3" w:rsidRPr="00B630D3" w:rsidRDefault="00B630D3" w:rsidP="00B630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эшли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башланган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hyperlink r:id="rId11" w:tgtFrame="_blank" w:history="1"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"</w:t>
        </w:r>
        <w:proofErr w:type="spell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Әлбә</w:t>
        </w:r>
        <w:proofErr w:type="gramStart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тт</w:t>
        </w:r>
        <w:proofErr w:type="gramEnd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ә</w:t>
        </w:r>
        <w:proofErr w:type="spellEnd"/>
        <w:r w:rsidRPr="00B630D3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"</w:t>
        </w:r>
      </w:hyperlink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сайтының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быел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март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аенда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сезонын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ачты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барышында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халкына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тарихына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мәдәниятенә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багышланган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50гә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якын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видеолекция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тәкъдим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ителә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Узган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язмаларында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бары тик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татарча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лекциялә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булса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быел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аларга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рус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субтитрлар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рус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телендә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лекцияләр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өстәлгән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B630D3" w:rsidRPr="00B630D3" w:rsidRDefault="00B630D3" w:rsidP="00B630D3">
      <w:pPr>
        <w:shd w:val="clear" w:color="auto" w:fill="FFFFFF"/>
        <w:spacing w:after="54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тыш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быел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видеолекцияләргә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</w:t>
      </w:r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ярым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шаяртулы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"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Тыпыр-тыпыр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грамматика"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дәресләре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өстәлде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Анда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көлкеле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ситуациялә</w:t>
      </w:r>
      <w:proofErr w:type="gram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татар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теленең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грамматик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фонетик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кагыйдәләре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аңлатыла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Бу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видеоязма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интернетта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дистәләрчә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мең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тарафыннан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яратып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каралды</w:t>
      </w:r>
      <w:proofErr w:type="spellEnd"/>
      <w:r w:rsidRPr="00B630D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A0265B" w:rsidRDefault="00A0265B"/>
    <w:sectPr w:rsidR="00A0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A0265B"/>
    <w:rsid w:val="00B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840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558766">
                  <w:marLeft w:val="-3119"/>
                  <w:marRight w:val="405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9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448318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756326">
                  <w:marLeft w:val="-3119"/>
                  <w:marRight w:val="405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6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11374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432902">
                  <w:marLeft w:val="-3119"/>
                  <w:marRight w:val="405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7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091161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lbett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zatliq.org/a/2793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atliq.org/a/27586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2017-09-02T18:03:00Z</dcterms:created>
  <dcterms:modified xsi:type="dcterms:W3CDTF">2017-09-02T18:06:00Z</dcterms:modified>
</cp:coreProperties>
</file>